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bookmarkStart w:id="1" w:name="_GoBack"/>
    <w:bookmarkEnd w:id="1"/>
    <w:p w:rsidR="00CC59F6" w:rsidRDefault="00CC59F6">
      <w:pPr>
        <w:widowControl w:val="0"/>
        <w:autoSpaceDE w:val="0"/>
        <w:autoSpaceDN w:val="0"/>
        <w:adjustRightInd w:val="0"/>
        <w:spacing w:before="170" w:after="0" w:line="240" w:lineRule="auto"/>
        <w:rPr>
          <w:rFonts w:ascii="Times" w:hAnsi="Times" w:cs="Times"/>
          <w:sz w:val="24"/>
          <w:szCs w:val="24"/>
        </w:rPr>
      </w:pPr>
      <w:r>
        <w:rPr>
          <w:rFonts w:ascii="Times" w:hAnsi="Times" w:cs="Times"/>
          <w:sz w:val="24"/>
          <w:szCs w:val="24"/>
        </w:rPr>
        <w:fldChar w:fldCharType="begin"/>
      </w:r>
      <w:r>
        <w:rPr>
          <w:rFonts w:ascii="Times" w:hAnsi="Times" w:cs="Times"/>
          <w:sz w:val="24"/>
          <w:szCs w:val="24"/>
        </w:rPr>
        <w:instrText>HYPERLINK "http://resource.e-mcfr.ru/scion/document/default/MCFR10075480?cfu=default&amp;cpid=edu"</w:instrText>
      </w:r>
      <w:r w:rsidR="0068424E">
        <w:rPr>
          <w:rFonts w:ascii="Times" w:hAnsi="Times" w:cs="Times"/>
          <w:sz w:val="24"/>
          <w:szCs w:val="24"/>
        </w:rPr>
      </w:r>
      <w:r>
        <w:rPr>
          <w:rFonts w:ascii="Times" w:hAnsi="Times" w:cs="Times"/>
          <w:sz w:val="24"/>
          <w:szCs w:val="24"/>
        </w:rPr>
        <w:fldChar w:fldCharType="separate"/>
      </w:r>
      <w:r>
        <w:rPr>
          <w:rFonts w:ascii="Arial" w:hAnsi="Arial" w:cs="Arial"/>
          <w:color w:val="0000FF"/>
          <w:sz w:val="20"/>
          <w:szCs w:val="20"/>
          <w:u w:val="single" w:color="0000FF"/>
        </w:rPr>
        <w:t>Нажмите, чтобы открыть документ в браузере</w:t>
      </w:r>
      <w:r>
        <w:rPr>
          <w:rFonts w:ascii="Times" w:hAnsi="Times" w:cs="Times"/>
          <w:sz w:val="24"/>
          <w:szCs w:val="24"/>
        </w:rPr>
        <w:fldChar w:fldCharType="end"/>
      </w:r>
    </w:p>
    <w:bookmarkEnd w:id="0"/>
    <w:p w:rsidR="00CC59F6" w:rsidRDefault="00CC59F6">
      <w:pPr>
        <w:widowControl w:val="0"/>
        <w:autoSpaceDE w:val="0"/>
        <w:autoSpaceDN w:val="0"/>
        <w:adjustRightInd w:val="0"/>
        <w:spacing w:before="113" w:after="0" w:line="240" w:lineRule="auto"/>
        <w:jc w:val="center"/>
        <w:rPr>
          <w:rFonts w:ascii="Times" w:hAnsi="Times" w:cs="Times"/>
          <w:sz w:val="24"/>
          <w:szCs w:val="24"/>
        </w:rPr>
      </w:pPr>
      <w:r>
        <w:rPr>
          <w:rFonts w:ascii="Arial" w:hAnsi="Arial" w:cs="Arial"/>
          <w:b/>
          <w:bCs/>
          <w:color w:val="000000"/>
          <w:sz w:val="20"/>
          <w:szCs w:val="20"/>
        </w:rPr>
        <w:t>Министерство образования и науки Российской Федерации</w:t>
      </w:r>
    </w:p>
    <w:p w:rsidR="00CC59F6" w:rsidRDefault="00CC59F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Письмо</w:t>
      </w:r>
    </w:p>
    <w:p w:rsidR="00CC59F6" w:rsidRDefault="00CC59F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от 13 мая 2013 года № ИР-352/09</w:t>
      </w:r>
    </w:p>
    <w:p w:rsidR="00CC59F6" w:rsidRDefault="00CC59F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526373"/>
          <w:sz w:val="28"/>
          <w:szCs w:val="28"/>
        </w:rPr>
        <w:t>О направлении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Руководителям органов</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исполнительной власти субъектов</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Российской Федерации,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осуществляющих управление в сфере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образования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соответствии с пунктом 4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22 декабря 2012 г. № Пр-3410 Минобрнауки России в качестве рекомендации направляет для использования в работе программу развития воспитательной компоненты в общеобразовательной школе (далее - Программа).</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Программа разработана рабочей группой, с участием специалистов ФГАУ "Федеральный институт развития образования", ФГАОУ ДПО "Академия повышения квалификации и профессиональной переподготовки работников образования", ФГНУ "Институт психолого-педагогических проблем детства" РАО, ГОУ ВПО "Российский государственный гуманитарный университет", ФГНУ "Институт теории истории педагогики" РАО, ФГБОУ ВПО "Российский государственный университет физической культуры, спорта, молодежи и туризма", ФГБОУ ВПО "МАТИ - Российский государственный технологический университет им. К.Э. Циолковского".</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разработке Программы были учтены предложения, поступившие из субъектов Российской Федерации, общественных организаций, представителей профессионального сообщества.</w:t>
      </w:r>
    </w:p>
    <w:p w:rsidR="00CC59F6" w:rsidRDefault="00CC59F6">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20"/>
          <w:szCs w:val="20"/>
        </w:rPr>
        <w:t>И.М. Реморенко</w:t>
      </w:r>
    </w:p>
    <w:p w:rsidR="00CC59F6" w:rsidRDefault="00CC59F6">
      <w:pPr>
        <w:widowControl w:val="0"/>
        <w:autoSpaceDE w:val="0"/>
        <w:autoSpaceDN w:val="0"/>
        <w:adjustRightInd w:val="0"/>
        <w:spacing w:before="150" w:after="0" w:line="240" w:lineRule="auto"/>
        <w:jc w:val="center"/>
        <w:rPr>
          <w:rFonts w:ascii="Times" w:hAnsi="Times" w:cs="Times"/>
          <w:sz w:val="24"/>
          <w:szCs w:val="24"/>
        </w:rPr>
      </w:pPr>
      <w:r>
        <w:rPr>
          <w:rFonts w:ascii="Arial" w:hAnsi="Arial" w:cs="Arial"/>
          <w:b/>
          <w:bCs/>
          <w:color w:val="000000"/>
          <w:sz w:val="20"/>
          <w:szCs w:val="20"/>
        </w:rPr>
        <w:t>Проект</w:t>
      </w:r>
    </w:p>
    <w:p w:rsidR="00CC59F6" w:rsidRDefault="00CC59F6">
      <w:pPr>
        <w:widowControl w:val="0"/>
        <w:autoSpaceDE w:val="0"/>
        <w:autoSpaceDN w:val="0"/>
        <w:adjustRightInd w:val="0"/>
        <w:spacing w:before="300" w:after="0" w:line="240" w:lineRule="auto"/>
        <w:rPr>
          <w:rFonts w:ascii="Times" w:hAnsi="Times" w:cs="Times"/>
          <w:sz w:val="24"/>
          <w:szCs w:val="24"/>
        </w:rPr>
      </w:pPr>
      <w:r>
        <w:rPr>
          <w:rFonts w:ascii="Arial" w:hAnsi="Arial" w:cs="Arial"/>
          <w:b/>
          <w:bCs/>
          <w:color w:val="526373"/>
          <w:sz w:val="28"/>
          <w:szCs w:val="28"/>
        </w:rPr>
        <w:t>Программа развития воспитательной компоненты в общеобразовательных учреждениях</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Актуальность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каждом </w:t>
      </w:r>
      <w:r>
        <w:rPr>
          <w:rFonts w:ascii="Arial" w:hAnsi="Arial" w:cs="Arial"/>
          <w:color w:val="000000"/>
          <w:sz w:val="20"/>
          <w:szCs w:val="20"/>
        </w:rPr>
        <w:lastRenderedPageBreak/>
        <w:t>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Необходимость Программы развития воспитательной компоненты в общобразовательных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молодежной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Основания для разработки Программы</w:t>
      </w:r>
    </w:p>
    <w:p w:rsidR="00CC59F6" w:rsidRDefault="00CC59F6">
      <w:pPr>
        <w:widowControl w:val="0"/>
        <w:autoSpaceDE w:val="0"/>
        <w:autoSpaceDN w:val="0"/>
        <w:adjustRightInd w:val="0"/>
        <w:spacing w:before="170" w:after="0" w:line="240" w:lineRule="auto"/>
        <w:ind w:left="525" w:right="525"/>
        <w:rPr>
          <w:rFonts w:ascii="Times" w:hAnsi="Times" w:cs="Times"/>
          <w:sz w:val="24"/>
          <w:szCs w:val="24"/>
        </w:rPr>
      </w:pPr>
      <w:r>
        <w:rPr>
          <w:rFonts w:ascii="Arial" w:hAnsi="Arial" w:cs="Arial"/>
          <w:color w:val="000000"/>
          <w:sz w:val="20"/>
          <w:szCs w:val="20"/>
        </w:rPr>
        <w:t xml:space="preserve">- </w:t>
      </w:r>
      <w:hyperlink r:id="rId6" w:history="1">
        <w:r>
          <w:rPr>
            <w:rFonts w:ascii="Arial" w:hAnsi="Arial" w:cs="Arial"/>
            <w:color w:val="0000FF"/>
            <w:sz w:val="20"/>
            <w:szCs w:val="20"/>
            <w:u w:val="single" w:color="0000FF"/>
          </w:rPr>
          <w:t>Конституция</w:t>
        </w:r>
      </w:hyperlink>
      <w:r>
        <w:rPr>
          <w:rFonts w:ascii="Arial" w:hAnsi="Arial" w:cs="Arial"/>
          <w:color w:val="000000"/>
          <w:sz w:val="20"/>
          <w:szCs w:val="20"/>
        </w:rPr>
        <w:t xml:space="preserve"> Российской Федерации;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Всеобщая </w:t>
      </w:r>
      <w:hyperlink r:id="rId7" w:history="1">
        <w:r>
          <w:rPr>
            <w:rFonts w:ascii="Arial" w:hAnsi="Arial" w:cs="Arial"/>
            <w:color w:val="0000FF"/>
            <w:sz w:val="20"/>
            <w:szCs w:val="20"/>
            <w:u w:val="single" w:color="0000FF"/>
          </w:rPr>
          <w:t>декларация</w:t>
        </w:r>
      </w:hyperlink>
      <w:r>
        <w:rPr>
          <w:rFonts w:ascii="Arial" w:hAnsi="Arial" w:cs="Arial"/>
          <w:color w:val="000000"/>
          <w:sz w:val="20"/>
          <w:szCs w:val="20"/>
        </w:rPr>
        <w:t xml:space="preserve"> прав человека;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w:t>
      </w:r>
      <w:hyperlink r:id="rId8" w:history="1">
        <w:r>
          <w:rPr>
            <w:rFonts w:ascii="Arial" w:hAnsi="Arial" w:cs="Arial"/>
            <w:color w:val="0000FF"/>
            <w:sz w:val="20"/>
            <w:szCs w:val="20"/>
            <w:u w:val="single" w:color="0000FF"/>
          </w:rPr>
          <w:t>Конвенция</w:t>
        </w:r>
      </w:hyperlink>
      <w:r>
        <w:rPr>
          <w:rFonts w:ascii="Arial" w:hAnsi="Arial" w:cs="Arial"/>
          <w:color w:val="000000"/>
          <w:sz w:val="20"/>
          <w:szCs w:val="20"/>
        </w:rPr>
        <w:t xml:space="preserve"> о правах ребенка;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Послание Президента Российской Федерации Федеральному Собранию Российской Федерации от 12 декабря 2012 года;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Стратегия государственной национальной политики Российской Федерации на период до 2015 г.;</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Федеральный Закон от 29.12.2012 г. </w:t>
      </w:r>
      <w:hyperlink r:id="rId9" w:history="1">
        <w:r>
          <w:rPr>
            <w:rFonts w:ascii="Arial" w:hAnsi="Arial" w:cs="Arial"/>
            <w:color w:val="0000FF"/>
            <w:sz w:val="20"/>
            <w:szCs w:val="20"/>
            <w:u w:val="single" w:color="0000FF"/>
          </w:rPr>
          <w:t>№ 273-ФЗ</w:t>
        </w:r>
      </w:hyperlink>
      <w:r>
        <w:rPr>
          <w:rFonts w:ascii="Arial" w:hAnsi="Arial" w:cs="Arial"/>
          <w:color w:val="000000"/>
          <w:sz w:val="20"/>
          <w:szCs w:val="20"/>
        </w:rPr>
        <w:t xml:space="preserve"> "Об образовании в Российской Федерации";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Указ Президента Российской Федерации "О мерах по реализации государственной политики в области образования и науки" от 7 мая 2012 года </w:t>
      </w:r>
      <w:hyperlink r:id="rId10" w:history="1">
        <w:r>
          <w:rPr>
            <w:rFonts w:ascii="Arial" w:hAnsi="Arial" w:cs="Arial"/>
            <w:color w:val="0000FF"/>
            <w:sz w:val="20"/>
            <w:szCs w:val="20"/>
            <w:u w:val="single" w:color="0000FF"/>
          </w:rPr>
          <w:t>№ 599</w:t>
        </w:r>
      </w:hyperlink>
      <w:r>
        <w:rPr>
          <w:rFonts w:ascii="Arial" w:hAnsi="Arial" w:cs="Arial"/>
          <w:color w:val="000000"/>
          <w:sz w:val="20"/>
          <w:szCs w:val="20"/>
        </w:rPr>
        <w:t>;</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Указ Президента Российской Федерации "О национальной стратегии действий в интересах детей на 2012-2017 годы" от 1 июня 2012 года </w:t>
      </w:r>
      <w:hyperlink r:id="rId11" w:history="1">
        <w:r>
          <w:rPr>
            <w:rFonts w:ascii="Arial" w:hAnsi="Arial" w:cs="Arial"/>
            <w:color w:val="0000FF"/>
            <w:sz w:val="20"/>
            <w:szCs w:val="20"/>
            <w:u w:val="single" w:color="0000FF"/>
          </w:rPr>
          <w:t>№ 761</w:t>
        </w:r>
      </w:hyperlink>
      <w:r>
        <w:rPr>
          <w:rFonts w:ascii="Arial" w:hAnsi="Arial" w:cs="Arial"/>
          <w:color w:val="000000"/>
          <w:sz w:val="20"/>
          <w:szCs w:val="20"/>
        </w:rPr>
        <w:t>;</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г.№2148-р;</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Целевые группы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Основными разработчиками и участниками реализации перспективных программ и проектов </w:t>
      </w:r>
      <w:r>
        <w:rPr>
          <w:rFonts w:ascii="Arial" w:hAnsi="Arial" w:cs="Arial"/>
          <w:color w:val="000000"/>
          <w:sz w:val="20"/>
          <w:szCs w:val="20"/>
        </w:rPr>
        <w:lastRenderedPageBreak/>
        <w:t>Программы являются: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общественные институты: органы общественного управления всех уровней, детские и молодежные организации и объединения, объединения родительской общественности, профессиональные сообщества, попечительские советы;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структуры различной ведомственной принадлежности, отвечающие за работу с детьми и молодежью.</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Основные принципы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Программа: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Целевые группы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Основными разработчиками и участниками реализации перспективных программ и проектов Программы являются: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общественные институты: органы общественного управления всех уровней, детские и молодежные организации и объединения, объединения родительской общественности, профессиональные сообщества, попечительские советы;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структуры различной ведомственной принадлежности, отвечающие за работу с детьми и молодежью.</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Основные принципы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Программа: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w:t>
      </w:r>
      <w:r>
        <w:rPr>
          <w:rFonts w:ascii="Arial" w:hAnsi="Arial" w:cs="Arial"/>
          <w:color w:val="000000"/>
          <w:sz w:val="20"/>
          <w:szCs w:val="20"/>
        </w:rPr>
        <w:lastRenderedPageBreak/>
        <w:t>воспитания молодого поколения;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предполагает применение воспитывающего обучения как использований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Сроки и этапы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этап: 2013-2015 годы.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Подготовка проектов нормативно-правовых актов и разработка механизмов межведомственного взаимодействия для реализации Программы. Проведение научно-исследовательских работ.</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работы летних лагерей.</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этап: 2016-2018 годы.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Организация разработки и проведения государственных и общественных проектов по реализации Программы.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Разработка методических рекомендаций, федеральных государственных требований к повышению квалификаций педагогов системы общего и дополнительного образования.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Повышение квалификации и переподготовка кадров.</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этап: 2019-2020 годы. Информационно-аналитическая деятельность. Мониторинг эффективности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Современное состояние воспитания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деятельности общеобразовательных учреждений наблюдаются следующие позитивные тенденции: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получает дальнейшее развитие система защиты прав детей;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наблюдается повышение социального статуса педагога-воспитателя, классного руководителя, педагога дополнительного образования;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Основные направления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Нормативно-правовое - разработка нормативной базы на федеральном и региональных уровнях,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Организационно- управленческое - организация межведомственного сетевого взаимодействия по разработке моделей общего и дополнительного образования, обеспечение занятости обучающихся через формирование государственных заданий на реализацию образовательных, физкультурно-спортивных, культурно - 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Кадровое -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разработка федеральных государственных требований к повышению квалификаций 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Информационное - организация информационной поддержки мероприятий Программы с </w:t>
      </w:r>
      <w:r>
        <w:rPr>
          <w:rFonts w:ascii="Arial" w:hAnsi="Arial" w:cs="Arial"/>
          <w:color w:val="000000"/>
          <w:sz w:val="20"/>
          <w:szCs w:val="20"/>
        </w:rPr>
        <w:lastRenderedPageBreak/>
        <w:t>привлечением федеральных и региональных ресурсов (СМИ, Интернет-сайты или страницы сайтов образовательных учреждений, Интернет -конференции, вебинары, форумы и иные).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Мониторинговое - 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Финансовое - организация финансовой поддержки реализации Программы.</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Материально-техническое - обеспечение оснащения, необходимого для развития воспитательной деятельности в системе общего и дополнительного образования.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Содержание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молодежи.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родительства и т.п.).</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т.ч. приобретение музыкальной аппаратуры, спортивного оборудования и инвентаря, оборудования для школьных библиотек, фото и видеостудий, оснащения школьных музеев.</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Основные направления организации воспитания и социализации учащихся общеобразовательных учреждений:</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Гражданско-патриотическое: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воспитание уважения к правам, свободам и обязанностям человека;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ценностных представлений о любви к России, народам Российской Федерации, к своей малой родине;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 нравственных представлений о долге, чести и достоинстве в контексте отношения к Отечеству, к согражданам, к семье;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Реализация данного направления воспитательной деятельности предполагает:</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молодежи.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исследование истории родного края, природного и культурного наследия страны и отдельного региона;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компетенций в сфере межкультурной коммуникации, диалога культур, толерантности;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Нравственное и духовное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w:t>
      </w:r>
      <w:r>
        <w:rPr>
          <w:rFonts w:ascii="Arial" w:hAnsi="Arial" w:cs="Arial"/>
          <w:color w:val="000000"/>
          <w:sz w:val="20"/>
          <w:szCs w:val="20"/>
        </w:rPr>
        <w:lastRenderedPageBreak/>
        <w:t>пространства;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уважительного отношения к традициям, культуре и языку своего народа и других народов России.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Воспитание положительного отношения к труду и творчеству:</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-дни труда, дни профессий, творческие конкурсы и фестивали и т.п.);</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Интеллектуальное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 Здоровьесберегающее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программы и проекты, направленные на воспитание ответственного отношения к </w:t>
      </w:r>
      <w:r>
        <w:rPr>
          <w:rFonts w:ascii="Arial" w:hAnsi="Arial" w:cs="Arial"/>
          <w:color w:val="000000"/>
          <w:sz w:val="20"/>
          <w:szCs w:val="20"/>
        </w:rPr>
        <w:lastRenderedPageBreak/>
        <w:t>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 Социокультурное и медиакультурное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w:t>
      </w:r>
      <w:r>
        <w:rPr>
          <w:rFonts w:ascii="Arial" w:hAnsi="Arial" w:cs="Arial"/>
          <w:color w:val="000000"/>
          <w:sz w:val="20"/>
          <w:szCs w:val="20"/>
        </w:rPr>
        <w:lastRenderedPageBreak/>
        <w:t>проведения тематических классных часов, деятельности школьных дискуссионных клубов, школы юного педагога, юного социолога, юного психолога);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 Культуротворческое и эстетическое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представлений о своей роли и практического опыта в производстве культуры и культурного продукта;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условий для проявления и развития индивидуальных творческих способностей;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 и проекты, связанные с музейной педагогикой, с детским и молодежным туризмом (например, деятельность кружков и школ юного экскурсовода, проведение туристических походов и слетов, связанных с изучением истории и культуры, организация дней и декад культуры в школе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8. Правовое воспитание и культура безопасности: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молодежных субкультур.</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w:t>
      </w:r>
      <w:r>
        <w:rPr>
          <w:rFonts w:ascii="Arial" w:hAnsi="Arial" w:cs="Arial"/>
          <w:color w:val="000000"/>
          <w:sz w:val="20"/>
          <w:szCs w:val="20"/>
        </w:rPr>
        <w:lastRenderedPageBreak/>
        <w:t>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9. Воспитание семейных ценностей: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ценностных представлений об институте семьи, о семейных ценностях, традициях, культуре семейной жизни;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знаний в сфере этики и психологии семейных отношений.</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10. Формирование коммуникативной культуры: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дополнительных навыков коммуникации, включая межличностную коммуникацию, межкультурную коммуникацию;</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ответственного отношения к слову как к поступку;</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знаний в области современных средств коммуникации и безопасности общения;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 обучающихся ценностных представлений о родном языке, его особенностях и месте в мире.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 т.д.);</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школьных средств массовой информации (школьные газеты, сайты, радио-, теле- и видеостудии);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11. Экологическое воспитание: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w:t>
      </w:r>
      <w:r>
        <w:rPr>
          <w:rFonts w:ascii="Arial" w:hAnsi="Arial" w:cs="Arial"/>
          <w:color w:val="000000"/>
          <w:sz w:val="20"/>
          <w:szCs w:val="20"/>
        </w:rPr>
        <w:lastRenderedPageBreak/>
        <w:t>экологической культуры, навыков безопасного поведения в природной и техногенной среде;</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Действенными программами и проектами в развитии данного направления воспитательной деятельности могут быть: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ASP-net UNESCO и др.);</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программы и проекты, направленные на формирование благоприятной и безопасной среды обитания в рамках населенного пункта, двора, школы.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Ожидаемые результаты реализации Программы</w:t>
      </w:r>
    </w:p>
    <w:p w:rsidR="00CC59F6" w:rsidRDefault="00CC59F6">
      <w:pPr>
        <w:widowControl w:val="0"/>
        <w:autoSpaceDE w:val="0"/>
        <w:autoSpaceDN w:val="0"/>
        <w:adjustRightInd w:val="0"/>
        <w:spacing w:before="170" w:after="0" w:line="240" w:lineRule="auto"/>
        <w:ind w:left="525" w:right="525"/>
        <w:rPr>
          <w:rFonts w:ascii="Times" w:hAnsi="Times" w:cs="Times"/>
          <w:sz w:val="24"/>
          <w:szCs w:val="24"/>
        </w:rPr>
      </w:pPr>
      <w:r>
        <w:rPr>
          <w:rFonts w:ascii="Arial" w:hAnsi="Arial" w:cs="Arial"/>
          <w:color w:val="000000"/>
          <w:sz w:val="20"/>
          <w:szCs w:val="20"/>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Показатели и индикаторы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В результате выполнения Программы будет обеспечено:</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создание и внедрение новых программ воспитания и социализации обучающихся в общеобразовательных учреждениях;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внедрение и эффективное использование новых информационных сервисов, систем и технологий воспитания и социализации детей и молодежи;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внедрение процедур независимой экспертизы воспитательной деятельности образовательных учреждений и процесса социализации обучающихся;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рост удовлетворенности обучающихся и их родителей условиями воспитания, обучения и развития детей в образовательных учреждениях.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Будут обеспечены: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-подготовка и переподготовка кадров по приоритетным направлениям воспитания и социализации детей и молодежи;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-внедрение механизмов государственной поддержки, обеспечивающей эффективное финансирование воспитательной компоненты в образовании;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молодежи на основе укрепления и развития ресурсов дополнительного образования, а также посредством развития спектра дополнительных образовательных услуг, в том числе и дистанционных;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Управление реализацией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Формирование экспертного совета.</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Мониторинг реализации Программы.</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Обратная связь с регионами.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Корректировка при необходимости направлений и механизмов реализации Программы.</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lastRenderedPageBreak/>
        <w:t>Ресурсное обеспечение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.Разработка нормативно-правовой базы в сфере воспитания.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Развитие действующей инфраструктуры воспитания (направления, формы, механизмы, сетевое взаимодействие).</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Подготовка кадрового потенциала в сфере воспитания.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Развитие научного, информационного, программно-методического обеспечения воспитания.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 Обоснование объемов и механизмов финансирования воспитания.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14. Система мероприятий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Реализация Программы и ее эффективность обеспечивается реализацией следующих мероприятий: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повышением воспитательного потенциала образовательного процесса;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развитием системы дополнительного образования учащихся;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повышением педагогической культуры родителей;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взаимодействием школы с общественными и традиционными религиозными организациями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готовностью педагогов к решению актуальных задач воспитания;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укреплением партнерских отношений на межведомственной основе с социальными институтами воспитания и социализации несовершеннолетних;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организацией социально значимой и полезной деятельности, включенностью в этот процесс учащихся.</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Эффективность реализации Программы</w:t>
      </w:r>
    </w:p>
    <w:p w:rsidR="00CC59F6" w:rsidRDefault="00CC59F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Реализация Программы и ее эффективность детерминируются рядом условий: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готовностью педагогов к решению актуальных задач воспитания;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повышением воспитательного потенциала образовательного процесса;</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развитием системы дополнительного образования учащихся;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повышением педагогической культуры родителей;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взаимодействием школы с общественными и традиционными религиозными организациями;</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укреплением партнерских отношений на межведомственной основе с социальными институтами воспитания и социализации несовершеннолетних;</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организацией социально значимой и полезной деятельности, включенностью в этот процесс подрастающего поколения</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Основными результатами развития Программы должны стать:</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результаты личностных воспитательно-образовательных достижений учащихся;</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-результаты деятельности образовательных учреждений систем общего и дополнительного образования детей;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-результаты деятельности педагогических кадров систем общего и дополнительного образования детей;</w:t>
      </w:r>
    </w:p>
    <w:p w:rsidR="00CC59F6" w:rsidRDefault="00CC59F6">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Заместитель директора Департамента</w:t>
      </w:r>
    </w:p>
    <w:p w:rsidR="00CC59F6" w:rsidRDefault="00CC59F6">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дополнительного образования детей,</w:t>
      </w:r>
    </w:p>
    <w:p w:rsidR="00CC59F6" w:rsidRDefault="00CC59F6">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воспитания и молодежной политики</w:t>
      </w:r>
    </w:p>
    <w:p w:rsidR="00CC59F6" w:rsidRDefault="00CC59F6">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Т.Э. Петрова</w:t>
      </w:r>
    </w:p>
    <w:p w:rsidR="00CC59F6" w:rsidRDefault="00CC59F6">
      <w:pPr>
        <w:widowControl w:val="0"/>
        <w:autoSpaceDE w:val="0"/>
        <w:autoSpaceDN w:val="0"/>
        <w:adjustRightInd w:val="0"/>
        <w:spacing w:before="150" w:after="0" w:line="240" w:lineRule="auto"/>
        <w:rPr>
          <w:rFonts w:ascii="Times" w:hAnsi="Times" w:cs="Times"/>
          <w:sz w:val="24"/>
          <w:szCs w:val="24"/>
        </w:rPr>
      </w:pPr>
      <w:r>
        <w:rPr>
          <w:rFonts w:ascii="Arial" w:hAnsi="Arial" w:cs="Arial"/>
          <w:b/>
          <w:bCs/>
          <w:color w:val="000000"/>
          <w:sz w:val="20"/>
          <w:szCs w:val="20"/>
        </w:rPr>
        <w:lastRenderedPageBreak/>
        <w:t>Название:</w:t>
      </w:r>
      <w:r>
        <w:rPr>
          <w:rFonts w:ascii="Arial" w:hAnsi="Arial" w:cs="Arial"/>
          <w:color w:val="000000"/>
          <w:sz w:val="20"/>
          <w:szCs w:val="20"/>
        </w:rPr>
        <w:t> Письмо Министерства образования и науки Российской Федерации от 13 мая 2013 года № ИР-352/09 "О направлении программы"</w:t>
      </w:r>
    </w:p>
    <w:p w:rsidR="00CC59F6" w:rsidRDefault="00CC59F6">
      <w:pPr>
        <w:widowControl w:val="0"/>
        <w:autoSpaceDE w:val="0"/>
        <w:autoSpaceDN w:val="0"/>
        <w:adjustRightInd w:val="0"/>
        <w:spacing w:before="85" w:after="0" w:line="240" w:lineRule="auto"/>
        <w:rPr>
          <w:rFonts w:ascii="Times" w:hAnsi="Times" w:cs="Times"/>
          <w:sz w:val="24"/>
          <w:szCs w:val="24"/>
        </w:rPr>
      </w:pPr>
      <w:r>
        <w:rPr>
          <w:rFonts w:ascii="Arial" w:hAnsi="Arial" w:cs="Arial"/>
          <w:b/>
          <w:bCs/>
          <w:color w:val="000000"/>
          <w:sz w:val="20"/>
          <w:szCs w:val="20"/>
        </w:rPr>
        <w:t>Дата вступления в силу:</w:t>
      </w:r>
      <w:r>
        <w:rPr>
          <w:rFonts w:ascii="Arial" w:hAnsi="Arial" w:cs="Arial"/>
          <w:color w:val="000000"/>
          <w:sz w:val="20"/>
          <w:szCs w:val="20"/>
        </w:rPr>
        <w:t> 13.05.2013</w:t>
      </w:r>
    </w:p>
    <w:p w:rsidR="00CC59F6" w:rsidRDefault="00CC59F6">
      <w:pPr>
        <w:widowControl w:val="0"/>
        <w:autoSpaceDE w:val="0"/>
        <w:autoSpaceDN w:val="0"/>
        <w:adjustRightInd w:val="0"/>
        <w:spacing w:after="0" w:line="240" w:lineRule="auto"/>
        <w:rPr>
          <w:rFonts w:ascii="Times" w:hAnsi="Times" w:cs="Times"/>
          <w:sz w:val="24"/>
          <w:szCs w:val="24"/>
        </w:rPr>
      </w:pPr>
    </w:p>
    <w:sectPr w:rsidR="00CC59F6">
      <w:headerReference w:type="even" r:id="rId12"/>
      <w:headerReference w:type="default" r:id="rId13"/>
      <w:footerReference w:type="even" r:id="rId14"/>
      <w:footerReference w:type="default" r:id="rId15"/>
      <w:pgSz w:w="11906" w:h="16838"/>
      <w:pgMar w:top="1814" w:right="1134" w:bottom="181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EE" w:rsidRDefault="00717AEE">
      <w:pPr>
        <w:spacing w:after="0" w:line="240" w:lineRule="auto"/>
      </w:pPr>
      <w:r>
        <w:separator/>
      </w:r>
    </w:p>
  </w:endnote>
  <w:endnote w:type="continuationSeparator" w:id="0">
    <w:p w:rsidR="00717AEE" w:rsidRDefault="0071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F6" w:rsidRDefault="00CC59F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CC59F6" w:rsidRDefault="00CC59F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F6" w:rsidRDefault="00CC59F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CC59F6" w:rsidRDefault="00CC59F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EE" w:rsidRDefault="00717AEE">
      <w:pPr>
        <w:spacing w:after="0" w:line="240" w:lineRule="auto"/>
      </w:pPr>
      <w:r>
        <w:separator/>
      </w:r>
    </w:p>
  </w:footnote>
  <w:footnote w:type="continuationSeparator" w:id="0">
    <w:p w:rsidR="00717AEE" w:rsidRDefault="0071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F6" w:rsidRDefault="00CC59F6">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F6" w:rsidRDefault="00CC59F6">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4E"/>
    <w:rsid w:val="0068424E"/>
    <w:rsid w:val="00717AEE"/>
    <w:rsid w:val="008C13DC"/>
    <w:rsid w:val="00CC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107CFD-B6F5-43AE-81CC-A04437A8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scion/citation/pit/MCFR1001006/MCFRLINK?cfu=default&amp;cpid=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resource.e-mcfr.ru/scion/citation/pit/MCFR100474/MCFRLINK?cfu=default&amp;cpi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source.e-mcfr.ru/scion/citation/pit/MCFR100381/MCFRLINK?cfu=default&amp;cpid=edu" TargetMode="External"/><Relationship Id="rId11" Type="http://schemas.openxmlformats.org/officeDocument/2006/relationships/hyperlink" Target="http://resource.e-mcfr.ru/scion/citation/pit/MCFR10035663/MCFRLINK?cfu=default&amp;cpid=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resource.e-mcfr.ru/scion/citation/pit/MCFR10032677/MCFRLINK?cfu=default&amp;cpid=edu" TargetMode="External"/><Relationship Id="rId4" Type="http://schemas.openxmlformats.org/officeDocument/2006/relationships/footnotes" Target="footnotes.xml"/><Relationship Id="rId9" Type="http://schemas.openxmlformats.org/officeDocument/2006/relationships/hyperlink" Target="http://resource.e-mcfr.ru/scion/citation/pit/MCFR10049740/MCFRLINK?cfu=default&amp;cpid=ed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ADMIN PC</cp:lastModifiedBy>
  <cp:revision>2</cp:revision>
  <dcterms:created xsi:type="dcterms:W3CDTF">2017-08-31T09:39:00Z</dcterms:created>
  <dcterms:modified xsi:type="dcterms:W3CDTF">2017-08-31T09:39:00Z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