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doc_1"/>
    <w:bookmarkStart w:id="1" w:name="_GoBack"/>
    <w:bookmarkEnd w:id="1"/>
    <w:p w:rsidR="000621B6" w:rsidRDefault="000621B6">
      <w:pPr>
        <w:widowControl w:val="0"/>
        <w:autoSpaceDE w:val="0"/>
        <w:autoSpaceDN w:val="0"/>
        <w:adjustRightInd w:val="0"/>
        <w:spacing w:before="170" w:after="0" w:line="240" w:lineRule="auto"/>
        <w:rPr>
          <w:rFonts w:ascii="Times" w:hAnsi="Times" w:cs="Times"/>
          <w:sz w:val="24"/>
          <w:szCs w:val="24"/>
        </w:rPr>
      </w:pPr>
      <w:r>
        <w:rPr>
          <w:rFonts w:ascii="Times" w:hAnsi="Times" w:cs="Times"/>
          <w:sz w:val="24"/>
          <w:szCs w:val="24"/>
        </w:rPr>
        <w:fldChar w:fldCharType="begin"/>
      </w:r>
      <w:r>
        <w:rPr>
          <w:rFonts w:ascii="Times" w:hAnsi="Times" w:cs="Times"/>
          <w:sz w:val="24"/>
          <w:szCs w:val="24"/>
        </w:rPr>
        <w:instrText>HYPERLINK "http://resource.e-mcfr.ru/scion/document/default/MCFR100126935?cfu=default&amp;cpid=edu"</w:instrText>
      </w:r>
      <w:r w:rsidR="00E916A7">
        <w:rPr>
          <w:rFonts w:ascii="Times" w:hAnsi="Times" w:cs="Times"/>
          <w:sz w:val="24"/>
          <w:szCs w:val="24"/>
        </w:rPr>
      </w:r>
      <w:r>
        <w:rPr>
          <w:rFonts w:ascii="Times" w:hAnsi="Times" w:cs="Times"/>
          <w:sz w:val="24"/>
          <w:szCs w:val="24"/>
        </w:rPr>
        <w:fldChar w:fldCharType="separate"/>
      </w:r>
      <w:r>
        <w:rPr>
          <w:rFonts w:ascii="Arial" w:hAnsi="Arial" w:cs="Arial"/>
          <w:color w:val="0000FF"/>
          <w:sz w:val="20"/>
          <w:szCs w:val="20"/>
          <w:u w:val="single" w:color="0000FF"/>
        </w:rPr>
        <w:t>Нажмите, чтобы открыть документ в браузере</w:t>
      </w:r>
      <w:r>
        <w:rPr>
          <w:rFonts w:ascii="Times" w:hAnsi="Times" w:cs="Times"/>
          <w:sz w:val="24"/>
          <w:szCs w:val="24"/>
        </w:rPr>
        <w:fldChar w:fldCharType="end"/>
      </w:r>
    </w:p>
    <w:bookmarkEnd w:id="0"/>
    <w:p w:rsidR="000621B6" w:rsidRDefault="000621B6">
      <w:pPr>
        <w:widowControl w:val="0"/>
        <w:autoSpaceDE w:val="0"/>
        <w:autoSpaceDN w:val="0"/>
        <w:adjustRightInd w:val="0"/>
        <w:spacing w:before="170" w:after="0" w:line="240" w:lineRule="auto"/>
        <w:jc w:val="center"/>
        <w:rPr>
          <w:rFonts w:ascii="Times" w:hAnsi="Times" w:cs="Times"/>
          <w:sz w:val="24"/>
          <w:szCs w:val="24"/>
        </w:rPr>
      </w:pPr>
      <w:r>
        <w:rPr>
          <w:rFonts w:ascii="Arial" w:hAnsi="Arial" w:cs="Arial"/>
          <w:b/>
          <w:bCs/>
          <w:color w:val="526373"/>
          <w:sz w:val="28"/>
          <w:szCs w:val="28"/>
        </w:rPr>
        <w:t>Приказ Министерства образования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 xml:space="preserve">В соответствии с </w:t>
      </w:r>
      <w:hyperlink r:id="rId6" w:history="1">
        <w:r>
          <w:rPr>
            <w:rFonts w:ascii="Arial" w:hAnsi="Arial" w:cs="Arial"/>
            <w:color w:val="0000FF"/>
            <w:sz w:val="20"/>
            <w:szCs w:val="20"/>
            <w:u w:val="single" w:color="0000FF"/>
          </w:rPr>
          <w:t>частью 5 статьи 59</w:t>
        </w:r>
      </w:hyperlink>
      <w:r>
        <w:rPr>
          <w:rFonts w:ascii="Arial" w:hAnsi="Arial" w:cs="Arial"/>
          <w:color w:val="000000"/>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утверждённого </w:t>
      </w:r>
      <w:hyperlink r:id="rId7" w:history="1">
        <w:r>
          <w:rPr>
            <w:rFonts w:ascii="Arial" w:hAnsi="Arial" w:cs="Arial"/>
            <w:color w:val="0000FF"/>
            <w:sz w:val="20"/>
            <w:szCs w:val="20"/>
            <w:u w:val="single" w:color="0000FF"/>
          </w:rPr>
          <w:t>постановлением</w:t>
        </w:r>
      </w:hyperlink>
      <w:r>
        <w:rPr>
          <w:rFonts w:ascii="Arial" w:hAnsi="Arial" w:cs="Arial"/>
          <w:color w:val="000000"/>
          <w:sz w:val="20"/>
          <w:szCs w:val="20"/>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Признать утратившими силу приказы Министерства образования Российской Федерации: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Министр</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Д.В. Ливанов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Зарегистрировано в Минюсте РФ 3 февраля 2014 г.</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Регистрационный N 31206</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Порядок проведения государственной итоговой аттестации по образовательным программам основного общего образования (утв. приказом Министерства образования и науки РФ от 25 декабря 2013 г. N 1394)</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Приложение</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I. Общие положения</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w:t>
      </w:r>
      <w:r>
        <w:rPr>
          <w:rFonts w:ascii="Arial" w:hAnsi="Arial" w:cs="Arial"/>
          <w:color w:val="000000"/>
          <w:sz w:val="20"/>
          <w:szCs w:val="20"/>
        </w:rPr>
        <w:lastRenderedPageBreak/>
        <w:t>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образования*(1).</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деятельность*(2).</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II. Формы проведения ГИА</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7. ГИА проводится: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формы*(3)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образования*(4),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III. Участники ГИА</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Федерации*(5),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Порядком*(6).</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Указанные обучающиеся допускаются к ГИА при условии получения ими отметок не ниже удовлетворительных на промежуточной аттестации.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IV. Организация проведения ГИА</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12. Федеральная служба по надзору в сфере образования и науки (далее - Рособрнадзор) осуществляет следующие функции в рамках проведения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"Интернет")*(3);</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осуществляет методическое обеспечение проведения ГИА*(7),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w:t>
      </w:r>
      <w:r>
        <w:rPr>
          <w:rFonts w:ascii="Arial" w:hAnsi="Arial" w:cs="Arial"/>
          <w:color w:val="000000"/>
          <w:sz w:val="20"/>
          <w:szCs w:val="20"/>
        </w:rPr>
        <w:lastRenderedPageBreak/>
        <w:t>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Федерации*(7);</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ФИС)*(8) в порядке, устанавливаемом Правительством Российской Федерации*(9);</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Федерации*(10),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деятельность*(11).</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ГИА*(12):</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создают ГЭК, предметные и конфликтные комиссии субъектов Российской Федерации*(13) и организуют их деятельность;</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подготовку и отбор специалистов, привлекаемых к проведению ГИА, в соответствии с требованиями настоящего Порядка;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устанавливают форму и порядок проведения ГИА для обучающихся, изучавших родной язык и родную литературу*(4);</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разрабатывают экзаменационные материалы для проведения ГИА по родному языку и родной литературе;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РИС)*(14) и внесение сведений в ФИС в порядке, устанавливаемом Правительством Российской Федерации*(9);</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w:t>
      </w:r>
      <w:r>
        <w:rPr>
          <w:rFonts w:ascii="Arial" w:hAnsi="Arial" w:cs="Arial"/>
          <w:color w:val="000000"/>
          <w:sz w:val="20"/>
          <w:szCs w:val="20"/>
        </w:rPr>
        <w:lastRenderedPageBreak/>
        <w:t>Российской Федерации, осуществляющих государственное управление в сфере образования, или специализированных сайтах;</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проведение ГИА в ППЭ в соответствии с требованиями настоящего Порядка;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обработку и проверку экзаменационных работ в порядке, устанавливаемом настоящим Порядком;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определяют минимальное количество баллов;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ознакомление обучающихся с результатами ГИА по всем учебным предметам;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осуществляют аккредитацию граждан в качестве общественных наблюдателей в порядке, устанавливаемом Минобрнауки России*(15).</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14. Учредители и загранучреждения обеспечивают проведение ГИА за пределами территории Российской Федерации, в том числе: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подготовку и отбор специалистов, привлекаемых к проведению ГИА, в соответствии с требованиями настоящего Порядка;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ППЭ необходимым комплектом экзаменационных материалов для проведения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организуют внесение сведений в ФИС в порядке, устанавливаемом Правительством Российской Федерации*(9);</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проведение ГИА в ППЭ в соответствии с требованиями настоящего Порядка;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обработку и проверку экзаменационных работ в соответствии с настоящим Порядком;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определяют минимальное количество баллов;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обеспечивают ознакомление обучающихся с результатами ГИА по всем учебным предметам;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осуществляют аккредитацию граждан в качестве общественных наблюдателей в порядке, устанавливаемом Минобрнауки России*(16).</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 сроках и местах подачи заявлений на прохождение ГИА по учебным предметам, не включенным в список обязательных, - до 31 декабря;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 сроках проведения ГИА - до 1 апреля;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 сроках, местах и порядке подачи и рассмотрения апелляций - до 20 апреля;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о сроках, местах и порядке информирования о результатах ГИА - до 20 апреля.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17. ГЭК:</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 организует и координирует работу по подготовке и проведению ГИА, в том числе: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координирует работу предметных комиссий;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 обеспечивает соблюдение установленного порядка проведения ГИА, в том числе: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осуществляет взаимодействие с общественными наблюдателями по вопросам соблюдения установленного порядка проведения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организует проведение проверки по вопросам нарушения установленного порядка проведения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Уполномоченные представители ГЭК информируются о месте расположения ГШЭ, в который они направляются, не ранее чем за три рабочих дня до проведения экзамена по соответствующему учебному предмету.</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18. Проверка экзаменационных работ обучающихся осуществляется предметными комиссиями по соответствующим учебным предметам.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состав предметных комиссий по каждому учебному предмету привлекаются лица, отвечающие следующим требованиям (далее - эксперты):</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наличие высшего образования;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соответствие квалификационным требованиям, указанным в квалификационных справочниках и (или) профессиональных стандартах;</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наличие документа, подтверждающего получение дополнительного профессионального образования, </w:t>
      </w:r>
      <w:r>
        <w:rPr>
          <w:rFonts w:ascii="Arial" w:hAnsi="Arial" w:cs="Arial"/>
          <w:color w:val="000000"/>
          <w:sz w:val="20"/>
          <w:szCs w:val="20"/>
        </w:rPr>
        <w:lastRenderedPageBreak/>
        <w:t>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Рособрнадзором*(7).</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Общее руководство и координацию деятельности предметной комиссии по соответствующему учебному предмету осуществляет ее председатель.</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Конфликтная комиссия: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принимает по результатам рассмотрения апелляции решение об удовлетворении или отклонении апелляции обучающегося;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информирует обучающегося, подавшего апелляцию, и (или) его родителей (законных представителей), а также ГЭК о принятом решении.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21. Решения ГЭК, предметных и конфликтных комиссий оформляются протоколами.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вносят сведения в ФИС и РИС в порядке, устанавливаемом Правительством Российской Федерации*(9).</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России*(17), предоставляется право:</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w:t>
      </w:r>
      <w:r>
        <w:rPr>
          <w:rFonts w:ascii="Arial" w:hAnsi="Arial" w:cs="Arial"/>
          <w:color w:val="000000"/>
          <w:sz w:val="20"/>
          <w:szCs w:val="20"/>
        </w:rPr>
        <w:lastRenderedPageBreak/>
        <w:t>осуществляющие государственное управление в сфере образования, и органы местного самоуправления, осуществляющие управление в сфере образования*(17).</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V. Сроки и продолжительность проведения ГИА</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26.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по обязательным учебным предметам проводится досрочно, но не ранее 20 апреля, в формах, устанавливаемых настоящим Порядком.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28. 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продолжительности экзамена 4 и более часа организуется питание обучающихся.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ОГЭ увеличивается на 1,5 часа.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30. Повторно к сдаче ГИА по соответствующему учебному предмету в текущем году по решению ГЭК допускаются следующие обучающиеся: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получившие на ГИА неудовлетворительный результат по одному из обязательных учебных предметов;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 явившиеся на экзамены по уважительным причинам (болезнь или иные обстоятельства, подтвержденные документально);</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апелляция которых о нарушении установленного порядка проведения ГИА конфликтной комиссией была удовлетворена;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VI. Проведение ГИА</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lastRenderedPageBreak/>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Рособрнадзором*(3).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Помещения, не использующиеся для проведения экзамена, на время проведения экзамена запираются и опечатываются.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Для каждого обучающегося выделяется отдельное рабочее место. В аудитории выделяется место для личных вещей обучающихся.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Для глухих и слабослышащих обучающихся аудитории для проведения экзамена оборудуются </w:t>
      </w:r>
      <w:r>
        <w:rPr>
          <w:rFonts w:ascii="Arial" w:hAnsi="Arial" w:cs="Arial"/>
          <w:color w:val="000000"/>
          <w:sz w:val="20"/>
          <w:szCs w:val="20"/>
        </w:rPr>
        <w:lastRenderedPageBreak/>
        <w:t>звукоусиливающей аппаратурой как коллективного, так и индивидуального пользования, при необходимости привлекается ассистент-сурдопереводчик.</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Для слепых обучающихся: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письменная экзаменационная работа выполняется рельефно-точечным шрифтом Брайля или на компьютере;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ГВЭ по всем учебным предметам по их желанию проводится в устной форме.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Для глухих и слабослышащих, с тяжелыми нарушениями речи по их желанию ГВЭ по всем учебным предметам проводится в письменной форме.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Для обучающихся, по медицинским показаниям не имеющих возможности прийти в ППЭ, экзамен организуется на дому.</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37. В день проведения экзамена в ППЭ присутствуют:</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 руководитель экзамена и организаторы ППЭ;</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б) уполномоченный представитель ГЭК;</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г) руководитель образовательной организации, в помещениях которой организован ППЭ, или </w:t>
      </w:r>
      <w:r>
        <w:rPr>
          <w:rFonts w:ascii="Arial" w:hAnsi="Arial" w:cs="Arial"/>
          <w:color w:val="000000"/>
          <w:sz w:val="20"/>
          <w:szCs w:val="20"/>
        </w:rPr>
        <w:lastRenderedPageBreak/>
        <w:t>уполномоченное им лицо;</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 сотрудники, осуществляющие охрану правопорядка, и (или) сотрудники органов внутренних дел (полиции);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е) медицинские работники и ассистенты, оказывающие необходимую техническую помощь обучающимся, указанным в пункте 34 настоящего Порядка, в том числе непосредственно при проведении экзамена;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ж) специалист по проведению инструктажа и обеспечению лабораторных работ;</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л) сопровождающие.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Общественные наблюдатели свободно перемещаются по ППЭ. При этом в одной аудитории находится только один общественный наблюдатель.</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В случае отсутствия у обучающегося документа, удостоверяющего личность, он допускается в ППЭ </w:t>
      </w:r>
      <w:r>
        <w:rPr>
          <w:rFonts w:ascii="Arial" w:hAnsi="Arial" w:cs="Arial"/>
          <w:color w:val="000000"/>
          <w:sz w:val="20"/>
          <w:szCs w:val="20"/>
        </w:rPr>
        <w:lastRenderedPageBreak/>
        <w:t>после подтверждения его личности сопровождающим.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Обучающиеся рассаживаются за рабочие столы в соответствии с проведенным распределением. Изменение рабочего места не допускается.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41. Экзамен проводится в спокойной и доброжелательной обстановке.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Организаторы выдают обучающимся экзаменационные материалы, которые включают в себя листы (бланки) для записи ответов.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Во время экзамена на рабочем столе обучающегося, помимо экзаменационных материалов, находятся: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 ручка;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б) документ, удостоверяющий личность;</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средства обучения и воспитания*(18);</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г) лекарства и питание (при необходимости);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 специальные технические средства (для лиц, указанных в пункте 34 настоящего Порядка).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Иные вещи обучающиеся оставляют в специально выделенном в аудитории месте для личных вещей обучающихся.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Во время проведения экзамена в ППЭ запрещается: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б) организаторам, ассистентам, оказывающим необходимую техническую помощь лицам, указанным в пункте 34 настоящего Порядка, техническим специалистам - иметь при себе средства связи;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44. При проведении ГВЭ в устной форме устные ответы обучающихся записываются на </w:t>
      </w:r>
      <w:r>
        <w:rPr>
          <w:rFonts w:ascii="Arial" w:hAnsi="Arial" w:cs="Arial"/>
          <w:color w:val="000000"/>
          <w:sz w:val="20"/>
          <w:szCs w:val="20"/>
        </w:rPr>
        <w:lastRenderedPageBreak/>
        <w:t>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По истечении времени экзамена организаторы объявляют окончание экзамена и собирают экзаменационные материалы у обучающихся.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выпускников прошлых лет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VII. Проверка экзаменационных работ участников ГИА и их оценивание</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47. РЦОИ обеспечивает предметные комиссии обезличенными копиями экзаменационных работ обучающихся.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Записи на черновиках не обрабатываются и не проверяются.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w:t>
      </w:r>
      <w:r>
        <w:rPr>
          <w:rFonts w:ascii="Arial" w:hAnsi="Arial" w:cs="Arial"/>
          <w:color w:val="000000"/>
          <w:sz w:val="20"/>
          <w:szCs w:val="20"/>
        </w:rPr>
        <w:lastRenderedPageBreak/>
        <w:t>учебному предмету.</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Третий эксперт назначается председателем предметной комиссии из числа экспертов, ранее не проверявших экзаменационную работу.</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51. Обработка и проверка экзаменационных работ занимает не более десяти рабочих дней.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VIII. Утверждение, изменение и (или) аннулирование результатов ГИА</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Результаты перепроверки оформляются протоколами в соответствии с пунктом 48 настоящего Порядка.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IX. Оценка результатов ГИА</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b/>
          <w:bCs/>
          <w:color w:val="526373"/>
          <w:sz w:val="26"/>
          <w:szCs w:val="26"/>
        </w:rPr>
        <w:t>X. Прием и рассмотрение апелляций</w:t>
      </w:r>
    </w:p>
    <w:p w:rsidR="000621B6" w:rsidRDefault="000621B6">
      <w:pPr>
        <w:widowControl w:val="0"/>
        <w:autoSpaceDE w:val="0"/>
        <w:autoSpaceDN w:val="0"/>
        <w:adjustRightInd w:val="0"/>
        <w:spacing w:before="170" w:after="0" w:line="240" w:lineRule="auto"/>
        <w:rPr>
          <w:rFonts w:ascii="Times" w:hAnsi="Times" w:cs="Times"/>
          <w:sz w:val="24"/>
          <w:szCs w:val="24"/>
        </w:rPr>
      </w:pPr>
      <w:r>
        <w:rPr>
          <w:rFonts w:ascii="Arial" w:hAnsi="Arial" w:cs="Arial"/>
          <w:color w:val="000000"/>
          <w:sz w:val="20"/>
          <w:szCs w:val="20"/>
        </w:rPr>
        <w:t>62.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66. При рассмотрении апелляции при желании присутствуют обучающийся и (или) его родители </w:t>
      </w:r>
      <w:r>
        <w:rPr>
          <w:rFonts w:ascii="Arial" w:hAnsi="Arial" w:cs="Arial"/>
          <w:color w:val="000000"/>
          <w:sz w:val="20"/>
          <w:szCs w:val="20"/>
        </w:rPr>
        <w:lastRenderedPageBreak/>
        <w:t>(законные представители), а также общественные наблюдатели.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Рассмотрение апелляции проводится в спокойной и доброжелательной обстановке.</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67. 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 отклонении апелляции;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 удовлетворении апелляции.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Обучающиеся и их родители (законные представители) заблаговременно информируются о времени и месте рассмотрения апелляций.</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Указанные материалы предъявляются обучающемуся (при его участии в рассмотрении апелляции).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(в случае его участия в рассмотрении апелляции).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lastRenderedPageBreak/>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______________________________</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 </w:t>
      </w:r>
      <w:hyperlink r:id="rId8" w:history="1">
        <w:r>
          <w:rPr>
            <w:rFonts w:ascii="Arial" w:hAnsi="Arial" w:cs="Arial"/>
            <w:color w:val="0000FF"/>
            <w:sz w:val="20"/>
            <w:szCs w:val="20"/>
            <w:u w:val="single" w:color="0000FF"/>
          </w:rPr>
          <w:t>Часть 4 статьи 59</w:t>
        </w:r>
      </w:hyperlink>
      <w:r>
        <w:rPr>
          <w:rFonts w:ascii="Arial" w:hAnsi="Arial" w:cs="Arial"/>
          <w:color w:val="000000"/>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*(2) </w:t>
      </w:r>
      <w:hyperlink r:id="rId9" w:history="1">
        <w:r>
          <w:rPr>
            <w:rFonts w:ascii="Arial" w:hAnsi="Arial" w:cs="Arial"/>
            <w:color w:val="0000FF"/>
            <w:sz w:val="20"/>
            <w:szCs w:val="20"/>
            <w:u w:val="single" w:color="0000FF"/>
          </w:rPr>
          <w:t>Часть 5 статьи 18</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*(3) </w:t>
      </w:r>
      <w:hyperlink r:id="rId10" w:history="1">
        <w:r>
          <w:rPr>
            <w:rFonts w:ascii="Arial" w:hAnsi="Arial" w:cs="Arial"/>
            <w:color w:val="0000FF"/>
            <w:sz w:val="20"/>
            <w:szCs w:val="20"/>
            <w:u w:val="single" w:color="0000FF"/>
          </w:rPr>
          <w:t>Часть 11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*(4) </w:t>
      </w:r>
      <w:hyperlink r:id="rId11" w:history="1">
        <w:r>
          <w:rPr>
            <w:rFonts w:ascii="Arial" w:hAnsi="Arial" w:cs="Arial"/>
            <w:color w:val="0000FF"/>
            <w:sz w:val="20"/>
            <w:szCs w:val="20"/>
            <w:u w:val="single" w:color="0000FF"/>
          </w:rPr>
          <w:t>Пункт 2 части 13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*(5) </w:t>
      </w:r>
      <w:hyperlink r:id="rId12" w:history="1">
        <w:r>
          <w:rPr>
            <w:rFonts w:ascii="Arial" w:hAnsi="Arial" w:cs="Arial"/>
            <w:color w:val="0000FF"/>
            <w:sz w:val="20"/>
            <w:szCs w:val="20"/>
            <w:u w:val="single" w:color="0000FF"/>
          </w:rPr>
          <w:t>Часть 4 статьи 71</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*(6) </w:t>
      </w:r>
      <w:hyperlink r:id="rId13" w:history="1">
        <w:r>
          <w:rPr>
            <w:rFonts w:ascii="Arial" w:hAnsi="Arial" w:cs="Arial"/>
            <w:color w:val="0000FF"/>
            <w:sz w:val="20"/>
            <w:szCs w:val="20"/>
            <w:u w:val="single" w:color="0000FF"/>
          </w:rPr>
          <w:t>Часть 3 статьи 34</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*(7) </w:t>
      </w:r>
      <w:hyperlink r:id="rId14" w:history="1">
        <w:r>
          <w:rPr>
            <w:rFonts w:ascii="Arial" w:hAnsi="Arial" w:cs="Arial"/>
            <w:color w:val="0000FF"/>
            <w:sz w:val="20"/>
            <w:szCs w:val="20"/>
            <w:u w:val="single" w:color="0000FF"/>
          </w:rPr>
          <w:t>Часть 14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*(8) </w:t>
      </w:r>
      <w:hyperlink r:id="rId15" w:history="1">
        <w:r>
          <w:rPr>
            <w:rFonts w:ascii="Arial" w:hAnsi="Arial" w:cs="Arial"/>
            <w:color w:val="0000FF"/>
            <w:sz w:val="20"/>
            <w:szCs w:val="20"/>
            <w:u w:val="single" w:color="0000FF"/>
          </w:rPr>
          <w:t>Пункт 1 части 2 статьи 98</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*(9) </w:t>
      </w:r>
      <w:hyperlink r:id="rId16" w:history="1">
        <w:r>
          <w:rPr>
            <w:rFonts w:ascii="Arial" w:hAnsi="Arial" w:cs="Arial"/>
            <w:color w:val="0000FF"/>
            <w:sz w:val="20"/>
            <w:szCs w:val="20"/>
            <w:u w:val="single" w:color="0000FF"/>
          </w:rPr>
          <w:t>Часть 4 статьи 98</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*(10) </w:t>
      </w:r>
      <w:hyperlink r:id="rId17" w:history="1">
        <w:r>
          <w:rPr>
            <w:rFonts w:ascii="Arial" w:hAnsi="Arial" w:cs="Arial"/>
            <w:color w:val="0000FF"/>
            <w:sz w:val="20"/>
            <w:szCs w:val="20"/>
            <w:u w:val="single" w:color="0000FF"/>
          </w:rPr>
          <w:t>Пункт 2 части 12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*(11) </w:t>
      </w:r>
      <w:hyperlink r:id="rId18" w:history="1">
        <w:r>
          <w:rPr>
            <w:rFonts w:ascii="Arial" w:hAnsi="Arial" w:cs="Arial"/>
            <w:color w:val="0000FF"/>
            <w:sz w:val="20"/>
            <w:szCs w:val="20"/>
            <w:u w:val="single" w:color="0000FF"/>
          </w:rPr>
          <w:t>Пункт 2 части 9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*(12) </w:t>
      </w:r>
      <w:hyperlink r:id="rId19" w:history="1">
        <w:r>
          <w:rPr>
            <w:rFonts w:ascii="Arial" w:hAnsi="Arial" w:cs="Arial"/>
            <w:color w:val="0000FF"/>
            <w:sz w:val="20"/>
            <w:szCs w:val="20"/>
            <w:u w:val="single" w:color="0000FF"/>
          </w:rPr>
          <w:t>Пункт 1 части 12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*(13) </w:t>
      </w:r>
      <w:hyperlink r:id="rId20" w:history="1">
        <w:r>
          <w:rPr>
            <w:rFonts w:ascii="Arial" w:hAnsi="Arial" w:cs="Arial"/>
            <w:color w:val="0000FF"/>
            <w:sz w:val="20"/>
            <w:szCs w:val="20"/>
            <w:u w:val="single" w:color="0000FF"/>
          </w:rPr>
          <w:t>Пункт 1 части 9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*(14) </w:t>
      </w:r>
      <w:hyperlink r:id="rId21" w:history="1">
        <w:r>
          <w:rPr>
            <w:rFonts w:ascii="Arial" w:hAnsi="Arial" w:cs="Arial"/>
            <w:color w:val="0000FF"/>
            <w:sz w:val="20"/>
            <w:szCs w:val="20"/>
            <w:u w:val="single" w:color="0000FF"/>
          </w:rPr>
          <w:t>Пункт 2 части 2 статьи 98</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*(15) </w:t>
      </w:r>
      <w:hyperlink r:id="rId22" w:history="1">
        <w:r>
          <w:rPr>
            <w:rFonts w:ascii="Arial" w:hAnsi="Arial" w:cs="Arial"/>
            <w:color w:val="0000FF"/>
            <w:sz w:val="20"/>
            <w:szCs w:val="20"/>
            <w:u w:val="single" w:color="0000FF"/>
          </w:rPr>
          <w:t>Пункт 1 части 15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*(16) </w:t>
      </w:r>
      <w:hyperlink r:id="rId23" w:history="1">
        <w:r>
          <w:rPr>
            <w:rFonts w:ascii="Arial" w:hAnsi="Arial" w:cs="Arial"/>
            <w:color w:val="0000FF"/>
            <w:sz w:val="20"/>
            <w:szCs w:val="20"/>
            <w:u w:val="single" w:color="0000FF"/>
          </w:rPr>
          <w:t>Пункт 2 части 15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*(17) </w:t>
      </w:r>
      <w:hyperlink r:id="rId24" w:history="1">
        <w:r>
          <w:rPr>
            <w:rFonts w:ascii="Arial" w:hAnsi="Arial" w:cs="Arial"/>
            <w:color w:val="0000FF"/>
            <w:sz w:val="20"/>
            <w:szCs w:val="20"/>
            <w:u w:val="single" w:color="0000FF"/>
          </w:rPr>
          <w:t>Часть 15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color w:val="000000"/>
          <w:sz w:val="20"/>
          <w:szCs w:val="20"/>
        </w:rPr>
        <w:t xml:space="preserve">*(18) </w:t>
      </w:r>
      <w:hyperlink r:id="rId25" w:history="1">
        <w:r>
          <w:rPr>
            <w:rFonts w:ascii="Arial" w:hAnsi="Arial" w:cs="Arial"/>
            <w:color w:val="0000FF"/>
            <w:sz w:val="20"/>
            <w:szCs w:val="20"/>
            <w:u w:val="single" w:color="0000FF"/>
          </w:rPr>
          <w:t>Часть 5 статьи 59</w:t>
        </w:r>
      </w:hyperlink>
      <w:r>
        <w:rPr>
          <w:rFonts w:ascii="Arial" w:hAnsi="Arial" w:cs="Arial"/>
          <w:color w:val="000000"/>
          <w:sz w:val="20"/>
          <w:szCs w:val="20"/>
        </w:rPr>
        <w:t xml:space="preserve"> Федерального закона.</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b/>
          <w:bCs/>
          <w:color w:val="000000"/>
          <w:sz w:val="20"/>
          <w:szCs w:val="20"/>
        </w:rPr>
        <w:t>Название:</w:t>
      </w:r>
      <w:r>
        <w:rPr>
          <w:rFonts w:ascii="Arial" w:hAnsi="Arial" w:cs="Arial"/>
          <w:color w:val="000000"/>
          <w:sz w:val="20"/>
          <w:szCs w:val="20"/>
        </w:rPr>
        <w:t> Приказ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
    <w:p w:rsidR="000621B6" w:rsidRDefault="000621B6">
      <w:pPr>
        <w:widowControl w:val="0"/>
        <w:autoSpaceDE w:val="0"/>
        <w:autoSpaceDN w:val="0"/>
        <w:adjustRightInd w:val="0"/>
        <w:spacing w:before="85" w:after="0" w:line="240" w:lineRule="auto"/>
        <w:rPr>
          <w:rFonts w:ascii="Times" w:hAnsi="Times" w:cs="Times"/>
          <w:sz w:val="24"/>
          <w:szCs w:val="24"/>
        </w:rPr>
      </w:pPr>
      <w:r>
        <w:rPr>
          <w:rFonts w:ascii="Arial" w:hAnsi="Arial" w:cs="Arial"/>
          <w:b/>
          <w:bCs/>
          <w:color w:val="000000"/>
          <w:sz w:val="20"/>
          <w:szCs w:val="20"/>
        </w:rPr>
        <w:t>Дата вступления в силу:</w:t>
      </w:r>
      <w:r>
        <w:rPr>
          <w:rFonts w:ascii="Arial" w:hAnsi="Arial" w:cs="Arial"/>
          <w:color w:val="000000"/>
          <w:sz w:val="20"/>
          <w:szCs w:val="20"/>
        </w:rPr>
        <w:t> 25.02.2014</w:t>
      </w:r>
    </w:p>
    <w:p w:rsidR="000621B6" w:rsidRDefault="000621B6">
      <w:pPr>
        <w:widowControl w:val="0"/>
        <w:autoSpaceDE w:val="0"/>
        <w:autoSpaceDN w:val="0"/>
        <w:adjustRightInd w:val="0"/>
        <w:spacing w:after="0" w:line="240" w:lineRule="auto"/>
        <w:rPr>
          <w:rFonts w:ascii="Times" w:hAnsi="Times" w:cs="Times"/>
          <w:sz w:val="24"/>
          <w:szCs w:val="24"/>
        </w:rPr>
      </w:pPr>
    </w:p>
    <w:sectPr w:rsidR="000621B6">
      <w:headerReference w:type="even" r:id="rId26"/>
      <w:headerReference w:type="default" r:id="rId27"/>
      <w:footerReference w:type="even" r:id="rId28"/>
      <w:footerReference w:type="default" r:id="rId29"/>
      <w:pgSz w:w="11906" w:h="16838"/>
      <w:pgMar w:top="1814" w:right="1134" w:bottom="1814" w:left="113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AA" w:rsidRDefault="006F68AA">
      <w:pPr>
        <w:spacing w:after="0" w:line="240" w:lineRule="auto"/>
      </w:pPr>
      <w:r>
        <w:separator/>
      </w:r>
    </w:p>
  </w:endnote>
  <w:endnote w:type="continuationSeparator" w:id="0">
    <w:p w:rsidR="006F68AA" w:rsidRDefault="006F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B6" w:rsidRDefault="000621B6">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©2014 МЦФЭР. Все права защищены.</w:t>
    </w:r>
  </w:p>
  <w:p w:rsidR="000621B6" w:rsidRDefault="000621B6">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B6" w:rsidRDefault="000621B6">
    <w:pPr>
      <w:widowControl w:val="0"/>
      <w:autoSpaceDE w:val="0"/>
      <w:autoSpaceDN w:val="0"/>
      <w:adjustRightInd w:val="0"/>
      <w:spacing w:before="113" w:after="0" w:line="240" w:lineRule="auto"/>
      <w:rPr>
        <w:rFonts w:ascii="Times" w:hAnsi="Times" w:cs="Times"/>
        <w:sz w:val="24"/>
        <w:szCs w:val="24"/>
      </w:rPr>
    </w:pPr>
    <w:r>
      <w:rPr>
        <w:rFonts w:ascii="Arial" w:hAnsi="Arial" w:cs="Arial"/>
        <w:b/>
        <w:bCs/>
        <w:i/>
        <w:iCs/>
        <w:color w:val="000000"/>
        <w:sz w:val="20"/>
        <w:szCs w:val="20"/>
      </w:rPr>
      <w:t>©2014 МЦФЭР. Все права защищены.</w:t>
    </w:r>
  </w:p>
  <w:p w:rsidR="000621B6" w:rsidRDefault="000621B6">
    <w:pPr>
      <w:widowControl w:val="0"/>
      <w:autoSpaceDE w:val="0"/>
      <w:autoSpaceDN w:val="0"/>
      <w:adjustRightInd w:val="0"/>
      <w:spacing w:after="0" w:line="240" w:lineRule="auto"/>
      <w:jc w:val="center"/>
      <w:rPr>
        <w:rFonts w:ascii="Times" w:hAnsi="Times" w:cs="Times"/>
        <w:sz w:val="24"/>
        <w:szCs w:val="24"/>
      </w:rPr>
    </w:pPr>
    <w:r>
      <w:rPr>
        <w:rFonts w:ascii="Arial" w:hAnsi="Arial" w:cs="Arial"/>
        <w:b/>
        <w:bCs/>
        <w:i/>
        <w:iCs/>
        <w:color w:val="000000"/>
        <w:sz w:val="16"/>
        <w:szCs w:val="16"/>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AA" w:rsidRDefault="006F68AA">
      <w:pPr>
        <w:spacing w:after="0" w:line="240" w:lineRule="auto"/>
      </w:pPr>
      <w:r>
        <w:separator/>
      </w:r>
    </w:p>
  </w:footnote>
  <w:footnote w:type="continuationSeparator" w:id="0">
    <w:p w:rsidR="006F68AA" w:rsidRDefault="006F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B6" w:rsidRDefault="000621B6">
    <w:pPr>
      <w:widowControl w:val="0"/>
      <w:autoSpaceDE w:val="0"/>
      <w:autoSpaceDN w:val="0"/>
      <w:adjustRightInd w:val="0"/>
      <w:spacing w:after="0" w:line="240" w:lineRule="auto"/>
      <w:rPr>
        <w:rFonts w:ascii="Times" w:hAnsi="Times" w:cs="Time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B6" w:rsidRDefault="000621B6">
    <w:pPr>
      <w:widowControl w:val="0"/>
      <w:autoSpaceDE w:val="0"/>
      <w:autoSpaceDN w:val="0"/>
      <w:adjustRightInd w:val="0"/>
      <w:spacing w:after="0" w:line="240" w:lineRule="auto"/>
      <w:rPr>
        <w:rFonts w:ascii="Times" w:hAnsi="Times" w:cs="Tim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A7"/>
    <w:rsid w:val="000621B6"/>
    <w:rsid w:val="006F68AA"/>
    <w:rsid w:val="00AC7024"/>
    <w:rsid w:val="00E9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4CFC3D-F57B-4C84-9B18-4125E4E3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e-mcfr.ru/scion/citation/pit/MCFR10049752%231644/MCFRLINK?cfu=default&amp;cpid=edu" TargetMode="External"/><Relationship Id="rId13" Type="http://schemas.openxmlformats.org/officeDocument/2006/relationships/hyperlink" Target="http://resource.e-mcfr.ru/scion/citation/pit/MCFR10049750%231057/MCFRLINK?cfu=default&amp;cpid=edu" TargetMode="External"/><Relationship Id="rId18" Type="http://schemas.openxmlformats.org/officeDocument/2006/relationships/hyperlink" Target="http://resource.e-mcfr.ru/scion/citation/pit/MCFR10049752%231659/MCFRLINK?cfu=default&amp;cpid=edu"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resource.e-mcfr.ru/scion/citation/pit/MCFR10049744%232736/MCFRLINK?cfu=default&amp;cpid=edu" TargetMode="External"/><Relationship Id="rId7" Type="http://schemas.openxmlformats.org/officeDocument/2006/relationships/hyperlink" Target="http://resource.e-mcfr.ru/scion/citation/pit/MCFR10082658/MCFRLINK?cfu=default&amp;cpid=edu" TargetMode="External"/><Relationship Id="rId12" Type="http://schemas.openxmlformats.org/officeDocument/2006/relationships/hyperlink" Target="http://resource.e-mcfr.ru/scion/citation/pit/MCFR10049754%231946/MCFRLINK?cfu=default&amp;cpid=edu" TargetMode="External"/><Relationship Id="rId17" Type="http://schemas.openxmlformats.org/officeDocument/2006/relationships/hyperlink" Target="http://resource.e-mcfr.ru/scion/citation/pit/MCFR10049752%231670/MCFRLINK?cfu=default&amp;cpid=edu" TargetMode="External"/><Relationship Id="rId25" Type="http://schemas.openxmlformats.org/officeDocument/2006/relationships/hyperlink" Target="http://resource.e-mcfr.ru/scion/citation/pit/MCFR10049752%231646/MCFRLINK?cfu=default&amp;cpid=edu" TargetMode="External"/><Relationship Id="rId2" Type="http://schemas.openxmlformats.org/officeDocument/2006/relationships/settings" Target="settings.xml"/><Relationship Id="rId16" Type="http://schemas.openxmlformats.org/officeDocument/2006/relationships/hyperlink" Target="http://resource.e-mcfr.ru/scion/citation/pit/MCFR10049744%232740/MCFRLINK?cfu=default&amp;cpid=edu" TargetMode="External"/><Relationship Id="rId20" Type="http://schemas.openxmlformats.org/officeDocument/2006/relationships/hyperlink" Target="http://resource.e-mcfr.ru/scion/citation/pit/MCFR10049752%231657/MCFRLINK?cfu=default&amp;cpid=edu"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resource.e-mcfr.ru/scion/citation/pit/MCFR10049752%231646/MCFRLINK?cfu=default&amp;cpid=edu" TargetMode="External"/><Relationship Id="rId11" Type="http://schemas.openxmlformats.org/officeDocument/2006/relationships/hyperlink" Target="http://resource.e-mcfr.ru/scion/citation/pit/MCFR10049752%231679/MCFRLINK?cfu=default&amp;cpid=edu" TargetMode="External"/><Relationship Id="rId24" Type="http://schemas.openxmlformats.org/officeDocument/2006/relationships/hyperlink" Target="http://resource.e-mcfr.ru/scion/citation/pit/MCFR10049752%231683/MCFRLINK?cfu=default&amp;cpid=edu" TargetMode="External"/><Relationship Id="rId5" Type="http://schemas.openxmlformats.org/officeDocument/2006/relationships/endnotes" Target="endnotes.xml"/><Relationship Id="rId15" Type="http://schemas.openxmlformats.org/officeDocument/2006/relationships/hyperlink" Target="http://resource.e-mcfr.ru/scion/citation/pit/MCFR10049744%232734/MCFRLINK?cfu=default&amp;cpid=edu" TargetMode="External"/><Relationship Id="rId23" Type="http://schemas.openxmlformats.org/officeDocument/2006/relationships/hyperlink" Target="http://resource.e-mcfr.ru/scion/citation/pit/MCFR10049752%231688/MCFRLINK?cfu=default&amp;cpid=edu" TargetMode="External"/><Relationship Id="rId28" Type="http://schemas.openxmlformats.org/officeDocument/2006/relationships/footer" Target="footer1.xml"/><Relationship Id="rId10" Type="http://schemas.openxmlformats.org/officeDocument/2006/relationships/hyperlink" Target="http://resource.e-mcfr.ru/scion/citation/pit/MCFR10049752%231663/MCFRLINK?cfu=default&amp;cpid=edu" TargetMode="External"/><Relationship Id="rId19" Type="http://schemas.openxmlformats.org/officeDocument/2006/relationships/hyperlink" Target="http://resource.e-mcfr.ru/scion/citation/pit/MCFR10049752%231668/MCFRLINK?cfu=default&amp;cpid=edu"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resource.e-mcfr.ru/scion/citation/pit/MCFR10049748%2393/MCFRLINK?cfu=default&amp;cpid=edu" TargetMode="External"/><Relationship Id="rId14" Type="http://schemas.openxmlformats.org/officeDocument/2006/relationships/hyperlink" Target="http://resource.e-mcfr.ru/scion/citation/pit/MCFR10049752%231681/MCFRLINK?cfu=default&amp;cpid=edu" TargetMode="External"/><Relationship Id="rId22" Type="http://schemas.openxmlformats.org/officeDocument/2006/relationships/hyperlink" Target="http://resource.e-mcfr.ru/scion/citation/pit/MCFR10049752%231686/MCFRLINK?cfu=default&amp;cpid=ed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10253</Words>
  <Characters>58444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Наместник</dc:creator>
  <cp:keywords/>
  <dc:description/>
  <cp:lastModifiedBy>ADMIN PC</cp:lastModifiedBy>
  <cp:revision>2</cp:revision>
  <dcterms:created xsi:type="dcterms:W3CDTF">2017-08-31T10:03:00Z</dcterms:created>
  <dcterms:modified xsi:type="dcterms:W3CDTF">2017-08-31T10:03:00Z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